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E06870" w:rsidTr="00E06870">
        <w:trPr>
          <w:jc w:val="center"/>
        </w:trPr>
        <w:tc>
          <w:tcPr>
            <w:tcW w:w="5000" w:type="pct"/>
          </w:tcPr>
          <w:tbl>
            <w:tblPr>
              <w:tblW w:w="5000" w:type="pct"/>
              <w:tblCellMar>
                <w:left w:w="0" w:type="dxa"/>
                <w:right w:w="0" w:type="dxa"/>
              </w:tblCellMar>
              <w:tblLook w:val="04A0" w:firstRow="1" w:lastRow="0" w:firstColumn="1" w:lastColumn="0" w:noHBand="0" w:noVBand="1"/>
            </w:tblPr>
            <w:tblGrid>
              <w:gridCol w:w="9360"/>
            </w:tblGrid>
            <w:tr w:rsidR="00E06870">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06870">
                    <w:trPr>
                      <w:trHeight w:val="15"/>
                      <w:jc w:val="center"/>
                    </w:trPr>
                    <w:tc>
                      <w:tcPr>
                        <w:tcW w:w="5000" w:type="pct"/>
                        <w:tcMar>
                          <w:top w:w="0" w:type="dxa"/>
                          <w:left w:w="0" w:type="dxa"/>
                          <w:bottom w:w="150" w:type="dxa"/>
                          <w:right w:w="0" w:type="dxa"/>
                        </w:tcMar>
                        <w:hideMark/>
                      </w:tcPr>
                      <w:p w:rsidR="00E06870" w:rsidRDefault="00E06870">
                        <w:pPr>
                          <w:spacing w:line="15" w:lineRule="atLeast"/>
                          <w:jc w:val="center"/>
                        </w:pPr>
                        <w:r>
                          <w:rPr>
                            <w:noProof/>
                          </w:rPr>
                          <w:drawing>
                            <wp:inline distT="0" distB="0" distL="0" distR="0" wp14:anchorId="6866FAA6" wp14:editId="1F40C5F5">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6870" w:rsidRDefault="00E06870">
                  <w:pPr>
                    <w:jc w:val="center"/>
                    <w:rPr>
                      <w:rFonts w:ascii="Times New Roman" w:eastAsia="Times New Roman" w:hAnsi="Times New Roman"/>
                      <w:sz w:val="20"/>
                      <w:szCs w:val="20"/>
                    </w:rPr>
                  </w:pPr>
                </w:p>
              </w:tc>
            </w:tr>
            <w:tr w:rsidR="00E06870">
              <w:tc>
                <w:tcPr>
                  <w:tcW w:w="0" w:type="auto"/>
                  <w:tcMar>
                    <w:top w:w="150" w:type="dxa"/>
                    <w:left w:w="0" w:type="dxa"/>
                    <w:bottom w:w="150" w:type="dxa"/>
                    <w:right w:w="0" w:type="dxa"/>
                  </w:tcMar>
                  <w:hideMark/>
                </w:tcPr>
                <w:p w:rsidR="00E06870" w:rsidRDefault="00E06870">
                  <w:pPr>
                    <w:jc w:val="center"/>
                  </w:pPr>
                  <w:r>
                    <w:rPr>
                      <w:noProof/>
                    </w:rPr>
                    <w:drawing>
                      <wp:inline distT="0" distB="0" distL="0" distR="0" wp14:anchorId="51AAB1FB" wp14:editId="14D0F72E">
                        <wp:extent cx="3281660" cy="1400175"/>
                        <wp:effectExtent l="0" t="0" r="0" b="0"/>
                        <wp:docPr id="18" name="Picture 18" descr="https://files.constantcontact.com/97d34275701/598c5ead-243e-468a-ac16-2c7e36117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constantcontact.com/97d34275701/598c5ead-243e-468a-ac16-2c7e36117e2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413" cy="1404336"/>
                                </a:xfrm>
                                <a:prstGeom prst="rect">
                                  <a:avLst/>
                                </a:prstGeom>
                                <a:noFill/>
                                <a:ln>
                                  <a:noFill/>
                                </a:ln>
                              </pic:spPr>
                            </pic:pic>
                          </a:graphicData>
                        </a:graphic>
                      </wp:inline>
                    </w:drawing>
                  </w:r>
                </w:p>
              </w:tc>
            </w:tr>
          </w:tbl>
          <w:p w:rsidR="00E06870" w:rsidRDefault="00E06870"/>
          <w:tbl>
            <w:tblPr>
              <w:tblW w:w="5000" w:type="pct"/>
              <w:tblCellMar>
                <w:left w:w="0" w:type="dxa"/>
                <w:right w:w="0" w:type="dxa"/>
              </w:tblCellMar>
              <w:tblLook w:val="04A0" w:firstRow="1" w:lastRow="0" w:firstColumn="1" w:lastColumn="0" w:noHBand="0" w:noVBand="1"/>
            </w:tblPr>
            <w:tblGrid>
              <w:gridCol w:w="9360"/>
            </w:tblGrid>
            <w:tr w:rsidR="00E06870">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06870">
                    <w:trPr>
                      <w:trHeight w:val="15"/>
                      <w:jc w:val="center"/>
                    </w:trPr>
                    <w:tc>
                      <w:tcPr>
                        <w:tcW w:w="5000" w:type="pct"/>
                        <w:tcMar>
                          <w:top w:w="0" w:type="dxa"/>
                          <w:left w:w="0" w:type="dxa"/>
                          <w:bottom w:w="150" w:type="dxa"/>
                          <w:right w:w="0" w:type="dxa"/>
                        </w:tcMar>
                        <w:hideMark/>
                      </w:tcPr>
                      <w:p w:rsidR="00E06870" w:rsidRDefault="00E06870">
                        <w:pPr>
                          <w:spacing w:line="15" w:lineRule="atLeast"/>
                          <w:jc w:val="center"/>
                        </w:pPr>
                        <w:r>
                          <w:rPr>
                            <w:noProof/>
                          </w:rPr>
                          <w:drawing>
                            <wp:inline distT="0" distB="0" distL="0" distR="0" wp14:anchorId="1C7AD7CE" wp14:editId="25E00F7B">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6870" w:rsidRDefault="00E06870">
                  <w:pPr>
                    <w:jc w:val="center"/>
                    <w:rPr>
                      <w:rFonts w:ascii="Times New Roman" w:eastAsia="Times New Roman" w:hAnsi="Times New Roman"/>
                      <w:sz w:val="20"/>
                      <w:szCs w:val="20"/>
                    </w:rPr>
                  </w:pPr>
                </w:p>
              </w:tc>
            </w:tr>
          </w:tbl>
          <w:p w:rsidR="00E06870" w:rsidRDefault="00E06870"/>
        </w:tc>
      </w:tr>
    </w:tbl>
    <w:p w:rsidR="00E06870" w:rsidRDefault="00E06870" w:rsidP="00E06870">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E06870" w:rsidTr="00E068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06870">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06870">
                    <w:trPr>
                      <w:trHeight w:val="15"/>
                      <w:jc w:val="center"/>
                    </w:trPr>
                    <w:tc>
                      <w:tcPr>
                        <w:tcW w:w="5000" w:type="pct"/>
                        <w:tcMar>
                          <w:top w:w="0" w:type="dxa"/>
                          <w:left w:w="0" w:type="dxa"/>
                          <w:bottom w:w="150" w:type="dxa"/>
                          <w:right w:w="0" w:type="dxa"/>
                        </w:tcMar>
                        <w:hideMark/>
                      </w:tcPr>
                      <w:p w:rsidR="00E06870" w:rsidRDefault="00E06870">
                        <w:pPr>
                          <w:spacing w:line="15" w:lineRule="atLeast"/>
                          <w:jc w:val="center"/>
                        </w:pPr>
                        <w:r>
                          <w:rPr>
                            <w:noProof/>
                          </w:rPr>
                          <w:drawing>
                            <wp:inline distT="0" distB="0" distL="0" distR="0" wp14:anchorId="2FB5C9B6" wp14:editId="76BE5A91">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06870" w:rsidRDefault="00E06870">
                  <w:pPr>
                    <w:jc w:val="center"/>
                    <w:rPr>
                      <w:rFonts w:ascii="Times New Roman" w:eastAsia="Times New Roman" w:hAnsi="Times New Roman"/>
                      <w:sz w:val="20"/>
                      <w:szCs w:val="20"/>
                    </w:rPr>
                  </w:pPr>
                </w:p>
              </w:tc>
            </w:tr>
          </w:tbl>
          <w:p w:rsidR="00E06870" w:rsidRDefault="00E06870">
            <w:pPr>
              <w:rPr>
                <w:rFonts w:ascii="Times New Roman" w:eastAsia="Times New Roman" w:hAnsi="Times New Roman"/>
                <w:sz w:val="20"/>
                <w:szCs w:val="20"/>
              </w:rPr>
            </w:pPr>
          </w:p>
        </w:tc>
      </w:tr>
    </w:tbl>
    <w:p w:rsidR="00E06870" w:rsidRDefault="00E06870" w:rsidP="00E06870">
      <w:pPr>
        <w:jc w:val="center"/>
      </w:pPr>
    </w:p>
    <w:tbl>
      <w:tblPr>
        <w:tblW w:w="5000" w:type="pct"/>
        <w:jc w:val="center"/>
        <w:tblCellMar>
          <w:left w:w="0" w:type="dxa"/>
          <w:right w:w="0" w:type="dxa"/>
        </w:tblCellMar>
        <w:tblLook w:val="04A0" w:firstRow="1" w:lastRow="0" w:firstColumn="1" w:lastColumn="0" w:noHBand="0" w:noVBand="1"/>
      </w:tblPr>
      <w:tblGrid>
        <w:gridCol w:w="4680"/>
        <w:gridCol w:w="4680"/>
      </w:tblGrid>
      <w:tr w:rsidR="00E06870" w:rsidTr="00E06870">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E06870">
              <w:tc>
                <w:tcPr>
                  <w:tcW w:w="0" w:type="auto"/>
                  <w:tcMar>
                    <w:top w:w="150" w:type="dxa"/>
                    <w:left w:w="300" w:type="dxa"/>
                    <w:bottom w:w="150" w:type="dxa"/>
                    <w:right w:w="150" w:type="dxa"/>
                  </w:tcMar>
                  <w:hideMark/>
                </w:tcPr>
                <w:p w:rsidR="00E06870" w:rsidRDefault="00E06870">
                  <w:pPr>
                    <w:rPr>
                      <w:rFonts w:ascii="Arial" w:hAnsi="Arial" w:cs="Arial"/>
                      <w:color w:val="403F42"/>
                      <w:sz w:val="18"/>
                      <w:szCs w:val="18"/>
                    </w:rPr>
                  </w:pPr>
                  <w:r>
                    <w:rPr>
                      <w:rFonts w:ascii="Arial" w:hAnsi="Arial" w:cs="Arial"/>
                      <w:color w:val="403F42"/>
                      <w:sz w:val="36"/>
                      <w:szCs w:val="36"/>
                    </w:rPr>
                    <w:t>November 11, 2020</w:t>
                  </w:r>
                </w:p>
                <w:p w:rsidR="00E06870" w:rsidRDefault="00E06870">
                  <w:pPr>
                    <w:rPr>
                      <w:rFonts w:ascii="Arial" w:hAnsi="Arial" w:cs="Arial"/>
                      <w:color w:val="403F42"/>
                      <w:sz w:val="18"/>
                      <w:szCs w:val="18"/>
                    </w:rPr>
                  </w:pPr>
                  <w:r>
                    <w:rPr>
                      <w:rFonts w:ascii="Arial" w:hAnsi="Arial" w:cs="Arial"/>
                      <w:color w:val="403F42"/>
                      <w:sz w:val="36"/>
                      <w:szCs w:val="36"/>
                    </w:rPr>
                    <w:t>5pm - 6:30pm</w:t>
                  </w:r>
                </w:p>
                <w:p w:rsidR="00E06870" w:rsidRDefault="00E06870">
                  <w:pPr>
                    <w:rPr>
                      <w:rFonts w:ascii="Arial" w:hAnsi="Arial" w:cs="Arial"/>
                      <w:color w:val="403F42"/>
                      <w:sz w:val="18"/>
                      <w:szCs w:val="18"/>
                    </w:rPr>
                  </w:pPr>
                  <w:r>
                    <w:rPr>
                      <w:rFonts w:ascii="Arial" w:hAnsi="Arial" w:cs="Arial"/>
                      <w:color w:val="403F42"/>
                      <w:sz w:val="36"/>
                      <w:szCs w:val="36"/>
                    </w:rPr>
                    <w:t xml:space="preserve">Free </w:t>
                  </w:r>
                  <w:proofErr w:type="spellStart"/>
                  <w:r>
                    <w:rPr>
                      <w:rFonts w:ascii="Arial" w:hAnsi="Arial" w:cs="Arial"/>
                      <w:color w:val="403F42"/>
                      <w:sz w:val="36"/>
                      <w:szCs w:val="36"/>
                    </w:rPr>
                    <w:t>Webex</w:t>
                  </w:r>
                  <w:proofErr w:type="spellEnd"/>
                  <w:r>
                    <w:rPr>
                      <w:rFonts w:ascii="Arial" w:hAnsi="Arial" w:cs="Arial"/>
                      <w:color w:val="403F42"/>
                      <w:sz w:val="36"/>
                      <w:szCs w:val="36"/>
                    </w:rPr>
                    <w:t xml:space="preserve"> Meeting</w:t>
                  </w:r>
                </w:p>
              </w:tc>
            </w:tr>
          </w:tbl>
          <w:p w:rsidR="00E06870" w:rsidRDefault="00E06870">
            <w:pPr>
              <w:rPr>
                <w:rFonts w:ascii="Times New Roman" w:eastAsia="Times New Roman" w:hAnsi="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E06870">
              <w:tc>
                <w:tcPr>
                  <w:tcW w:w="0" w:type="auto"/>
                  <w:tcMar>
                    <w:top w:w="150" w:type="dxa"/>
                    <w:left w:w="150" w:type="dxa"/>
                    <w:bottom w:w="150" w:type="dxa"/>
                    <w:right w:w="300" w:type="dxa"/>
                  </w:tcMar>
                  <w:hideMark/>
                </w:tcPr>
                <w:p w:rsidR="00E06870" w:rsidRDefault="00E06870">
                  <w:pPr>
                    <w:rPr>
                      <w:rFonts w:ascii="Arial" w:hAnsi="Arial" w:cs="Arial"/>
                      <w:color w:val="717A80"/>
                      <w:sz w:val="36"/>
                      <w:szCs w:val="36"/>
                    </w:rPr>
                  </w:pPr>
                  <w:r>
                    <w:rPr>
                      <w:rFonts w:ascii="Tahoma" w:hAnsi="Tahoma" w:cs="Tahoma"/>
                      <w:b/>
                      <w:bCs/>
                      <w:color w:val="000000"/>
                      <w:sz w:val="33"/>
                      <w:szCs w:val="33"/>
                    </w:rPr>
                    <w:t>Navigating Discussions of Prognosis and Advanced Care Planning in Dementia</w:t>
                  </w:r>
                </w:p>
              </w:tc>
            </w:tr>
          </w:tbl>
          <w:p w:rsidR="00E06870" w:rsidRDefault="00E06870">
            <w:pPr>
              <w:rPr>
                <w:rFonts w:ascii="Times New Roman" w:eastAsia="Times New Roman" w:hAnsi="Times New Roman"/>
                <w:sz w:val="20"/>
                <w:szCs w:val="20"/>
              </w:rPr>
            </w:pPr>
          </w:p>
        </w:tc>
      </w:tr>
    </w:tbl>
    <w:p w:rsidR="00E06870" w:rsidRDefault="00E06870" w:rsidP="00E06870">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E06870" w:rsidTr="00E068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06870">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E06870">
                    <w:tc>
                      <w:tcPr>
                        <w:tcW w:w="0" w:type="auto"/>
                        <w:hideMark/>
                      </w:tcPr>
                      <w:tbl>
                        <w:tblPr>
                          <w:tblW w:w="0" w:type="auto"/>
                          <w:jc w:val="center"/>
                          <w:shd w:val="clear" w:color="auto" w:fill="869198"/>
                          <w:tblCellMar>
                            <w:left w:w="0" w:type="dxa"/>
                            <w:right w:w="0" w:type="dxa"/>
                          </w:tblCellMar>
                          <w:tblLook w:val="04A0" w:firstRow="1" w:lastRow="0" w:firstColumn="1" w:lastColumn="0" w:noHBand="0" w:noVBand="1"/>
                        </w:tblPr>
                        <w:tblGrid>
                          <w:gridCol w:w="2470"/>
                        </w:tblGrid>
                        <w:tr w:rsidR="00E06870">
                          <w:trPr>
                            <w:jc w:val="center"/>
                          </w:trPr>
                          <w:tc>
                            <w:tcPr>
                              <w:tcW w:w="0" w:type="auto"/>
                              <w:shd w:val="clear" w:color="auto" w:fill="869198"/>
                              <w:tcMar>
                                <w:top w:w="135" w:type="dxa"/>
                                <w:left w:w="225" w:type="dxa"/>
                                <w:bottom w:w="150" w:type="dxa"/>
                                <w:right w:w="225" w:type="dxa"/>
                              </w:tcMar>
                              <w:hideMark/>
                            </w:tcPr>
                            <w:p w:rsidR="00E06870" w:rsidRDefault="00E06870">
                              <w:pPr>
                                <w:jc w:val="center"/>
                                <w:rPr>
                                  <w:b/>
                                  <w:bCs/>
                                  <w:color w:val="FFFFFF"/>
                                  <w:sz w:val="24"/>
                                  <w:szCs w:val="24"/>
                                </w:rPr>
                              </w:pPr>
                              <w:hyperlink r:id="rId7" w:history="1">
                                <w:r>
                                  <w:rPr>
                                    <w:rStyle w:val="Hyperlink"/>
                                    <w:b/>
                                    <w:bCs/>
                                    <w:color w:val="FFFFFF"/>
                                    <w:sz w:val="36"/>
                                    <w:szCs w:val="36"/>
                                    <w:u w:val="none"/>
                                  </w:rPr>
                                  <w:t>Register Here</w:t>
                                </w:r>
                              </w:hyperlink>
                            </w:p>
                          </w:tc>
                        </w:tr>
                      </w:tbl>
                      <w:p w:rsidR="00E06870" w:rsidRDefault="00E06870">
                        <w:pPr>
                          <w:jc w:val="center"/>
                          <w:rPr>
                            <w:rFonts w:ascii="Times New Roman" w:eastAsia="Times New Roman" w:hAnsi="Times New Roman"/>
                            <w:sz w:val="20"/>
                            <w:szCs w:val="20"/>
                          </w:rPr>
                        </w:pPr>
                      </w:p>
                    </w:tc>
                  </w:tr>
                </w:tbl>
                <w:p w:rsidR="00E06870" w:rsidRDefault="00E06870">
                  <w:pPr>
                    <w:rPr>
                      <w:rFonts w:ascii="Times New Roman" w:eastAsia="Times New Roman" w:hAnsi="Times New Roman"/>
                      <w:sz w:val="20"/>
                      <w:szCs w:val="20"/>
                    </w:rPr>
                  </w:pPr>
                </w:p>
              </w:tc>
            </w:tr>
          </w:tbl>
          <w:p w:rsidR="00E06870" w:rsidRDefault="00E06870">
            <w:pPr>
              <w:rPr>
                <w:rFonts w:ascii="Times New Roman" w:eastAsia="Times New Roman" w:hAnsi="Times New Roman"/>
                <w:sz w:val="20"/>
                <w:szCs w:val="20"/>
              </w:rPr>
            </w:pPr>
          </w:p>
        </w:tc>
      </w:tr>
    </w:tbl>
    <w:p w:rsidR="00E06870" w:rsidRDefault="00E06870" w:rsidP="00E06870">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E06870" w:rsidRPr="00E06870" w:rsidTr="00E0687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06870" w:rsidRPr="00E06870">
              <w:tc>
                <w:tcPr>
                  <w:tcW w:w="0" w:type="auto"/>
                  <w:tcMar>
                    <w:top w:w="150" w:type="dxa"/>
                    <w:left w:w="300" w:type="dxa"/>
                    <w:bottom w:w="150" w:type="dxa"/>
                    <w:right w:w="300" w:type="dxa"/>
                  </w:tcMar>
                </w:tcPr>
                <w:p w:rsidR="00E06870" w:rsidRPr="00E06870" w:rsidRDefault="00E06870">
                  <w:pPr>
                    <w:jc w:val="center"/>
                    <w:rPr>
                      <w:rFonts w:ascii="Arial" w:hAnsi="Arial" w:cs="Arial"/>
                      <w:color w:val="403F42"/>
                      <w:sz w:val="18"/>
                      <w:szCs w:val="18"/>
                    </w:rPr>
                  </w:pPr>
                  <w:r w:rsidRPr="00E06870">
                    <w:rPr>
                      <w:rFonts w:ascii="Arial" w:hAnsi="Arial" w:cs="Arial"/>
                      <w:color w:val="403F42"/>
                      <w:sz w:val="24"/>
                      <w:szCs w:val="24"/>
                    </w:rPr>
                    <w:t>Registration Deadline is November 9, 2020</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33"/>
                      <w:szCs w:val="33"/>
                    </w:rPr>
                    <w:t xml:space="preserve">Course Description </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color w:val="403F42"/>
                      <w:sz w:val="21"/>
                      <w:szCs w:val="21"/>
                    </w:rPr>
                    <w:t>Ensuring a timely and thorough dementia diagnosis can be difficult for even experienced physicians. Studies suggest that disclosing a dementia diagnosis is inconsistent, with up to 50% of clinicians not informing patients and families of their diagnosis. Early diagnosis of dementia has been associated with improved outcomes including reduced caregiver stress, increased understanding of disease process, earlier referrals to community supports, and earlier advance care planning. This presentation will discuss the importance of disclosing a compassionate and timely dementia diagnosis to patients and families. Given the nature of the disease, we will then detail the establishing of patient-centered goals of care and caregiver-centered plans of support. </w:t>
                  </w:r>
                  <w:r w:rsidRPr="00E06870">
                    <w:rPr>
                      <w:rFonts w:ascii="Arial" w:hAnsi="Arial" w:cs="Arial"/>
                      <w:color w:val="000000"/>
                      <w:sz w:val="21"/>
                      <w:szCs w:val="21"/>
                    </w:rPr>
                    <w:t>Finally, we will focus on how to apply key ethical principles when discussing advance care planning decisions.  </w:t>
                  </w:r>
                  <w:r w:rsidRPr="00E06870">
                    <w:rPr>
                      <w:rFonts w:ascii="Arial" w:hAnsi="Arial" w:cs="Arial"/>
                      <w:color w:val="403F42"/>
                      <w:sz w:val="18"/>
                      <w:szCs w:val="18"/>
                    </w:rPr>
                    <w:t xml:space="preserve"> </w:t>
                  </w:r>
                </w:p>
                <w:p w:rsidR="00E06870" w:rsidRPr="00E06870" w:rsidRDefault="00E06870">
                  <w:pPr>
                    <w:rPr>
                      <w:rFonts w:ascii="Arial" w:hAnsi="Arial" w:cs="Arial"/>
                      <w:color w:val="403F42"/>
                      <w:sz w:val="18"/>
                      <w:szCs w:val="18"/>
                    </w:rPr>
                  </w:pPr>
                  <w:r w:rsidRPr="00E06870">
                    <w:rPr>
                      <w:rFonts w:ascii="Arial" w:hAnsi="Arial" w:cs="Arial"/>
                      <w:color w:val="403F42"/>
                      <w:sz w:val="21"/>
                      <w:szCs w:val="21"/>
                    </w:rPr>
                    <w:t> </w:t>
                  </w:r>
                </w:p>
                <w:p w:rsidR="00E06870" w:rsidRPr="00E06870" w:rsidRDefault="00E06870">
                  <w:pPr>
                    <w:rPr>
                      <w:rFonts w:ascii="Arial" w:hAnsi="Arial" w:cs="Arial"/>
                      <w:color w:val="403F42"/>
                      <w:sz w:val="18"/>
                      <w:szCs w:val="18"/>
                    </w:rPr>
                  </w:pPr>
                  <w:r w:rsidRPr="00E06870">
                    <w:rPr>
                      <w:rFonts w:ascii="Arial" w:hAnsi="Arial" w:cs="Arial"/>
                      <w:b/>
                      <w:bCs/>
                      <w:color w:val="403F42"/>
                      <w:sz w:val="29"/>
                      <w:szCs w:val="29"/>
                    </w:rPr>
                    <w:t xml:space="preserve">Objectives </w:t>
                  </w:r>
                </w:p>
                <w:p w:rsidR="00E06870" w:rsidRPr="00E06870" w:rsidRDefault="00E06870" w:rsidP="003A1F0B">
                  <w:pPr>
                    <w:numPr>
                      <w:ilvl w:val="0"/>
                      <w:numId w:val="1"/>
                    </w:numPr>
                    <w:ind w:left="600" w:hanging="240"/>
                    <w:rPr>
                      <w:rFonts w:ascii="Arial" w:hAnsi="Arial" w:cs="Arial"/>
                      <w:color w:val="403F42"/>
                      <w:sz w:val="21"/>
                      <w:szCs w:val="21"/>
                    </w:rPr>
                  </w:pPr>
                  <w:r w:rsidRPr="00E06870">
                    <w:rPr>
                      <w:rFonts w:ascii="Arial" w:hAnsi="Arial" w:cs="Arial"/>
                      <w:color w:val="403F42"/>
                      <w:sz w:val="21"/>
                      <w:szCs w:val="21"/>
                    </w:rPr>
                    <w:t>Providing frank and compassionate timely disclosure of the dementia diagnosis and its meaning </w:t>
                  </w:r>
                </w:p>
                <w:p w:rsidR="00E06870" w:rsidRPr="00E06870" w:rsidRDefault="00E06870" w:rsidP="003A1F0B">
                  <w:pPr>
                    <w:numPr>
                      <w:ilvl w:val="0"/>
                      <w:numId w:val="1"/>
                    </w:numPr>
                    <w:ind w:left="600" w:hanging="240"/>
                    <w:rPr>
                      <w:rFonts w:ascii="Arial" w:hAnsi="Arial" w:cs="Arial"/>
                      <w:color w:val="403F42"/>
                      <w:sz w:val="21"/>
                      <w:szCs w:val="21"/>
                    </w:rPr>
                  </w:pPr>
                  <w:r w:rsidRPr="00E06870">
                    <w:rPr>
                      <w:rFonts w:ascii="Arial" w:hAnsi="Arial" w:cs="Arial"/>
                      <w:color w:val="403F42"/>
                      <w:sz w:val="21"/>
                      <w:szCs w:val="21"/>
                    </w:rPr>
                    <w:t>Establishing patient-centered goals of care and caregiver-centered plans of support.</w:t>
                  </w:r>
                </w:p>
                <w:p w:rsidR="00E06870" w:rsidRPr="00E06870" w:rsidRDefault="00E06870" w:rsidP="003A1F0B">
                  <w:pPr>
                    <w:numPr>
                      <w:ilvl w:val="0"/>
                      <w:numId w:val="1"/>
                    </w:numPr>
                    <w:ind w:left="600" w:hanging="240"/>
                    <w:rPr>
                      <w:rFonts w:ascii="Arial" w:hAnsi="Arial" w:cs="Arial"/>
                      <w:color w:val="403F42"/>
                      <w:sz w:val="21"/>
                      <w:szCs w:val="21"/>
                    </w:rPr>
                  </w:pPr>
                  <w:r w:rsidRPr="00E06870">
                    <w:rPr>
                      <w:rFonts w:ascii="Arial" w:hAnsi="Arial" w:cs="Arial"/>
                      <w:color w:val="403F42"/>
                      <w:sz w:val="21"/>
                      <w:szCs w:val="21"/>
                    </w:rPr>
                    <w:t xml:space="preserve">Applying key ethical principles to guide discussions surrounding advanced care planning decisions.  </w:t>
                  </w:r>
                </w:p>
                <w:p w:rsidR="00E06870" w:rsidRPr="00E06870" w:rsidRDefault="00E06870">
                  <w:pPr>
                    <w:rPr>
                      <w:rFonts w:ascii="Arial" w:hAnsi="Arial" w:cs="Arial"/>
                      <w:color w:val="403F42"/>
                      <w:sz w:val="18"/>
                      <w:szCs w:val="18"/>
                    </w:rPr>
                  </w:pPr>
                  <w:r w:rsidRPr="00E06870">
                    <w:rPr>
                      <w:rFonts w:ascii="Arial" w:hAnsi="Arial" w:cs="Arial"/>
                      <w:color w:val="000000"/>
                      <w:sz w:val="21"/>
                      <w:szCs w:val="21"/>
                    </w:rPr>
                    <w:lastRenderedPageBreak/>
                    <w:t> </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33"/>
                      <w:szCs w:val="33"/>
                    </w:rPr>
                    <w:t>Who Should Attend</w:t>
                  </w:r>
                </w:p>
                <w:p w:rsidR="00E06870" w:rsidRPr="00E06870" w:rsidRDefault="00E06870">
                  <w:pPr>
                    <w:rPr>
                      <w:rFonts w:ascii="Arial" w:hAnsi="Arial" w:cs="Arial"/>
                      <w:color w:val="403F42"/>
                      <w:sz w:val="18"/>
                      <w:szCs w:val="18"/>
                    </w:rPr>
                  </w:pPr>
                  <w:r w:rsidRPr="00E06870">
                    <w:rPr>
                      <w:rFonts w:ascii="Arial" w:hAnsi="Arial" w:cs="Arial"/>
                      <w:color w:val="403F42"/>
                      <w:sz w:val="21"/>
                      <w:szCs w:val="21"/>
                    </w:rPr>
                    <w:t xml:space="preserve">This course is designed for health care providers treating patients with </w:t>
                  </w:r>
                  <w:r w:rsidRPr="00E06870">
                    <w:rPr>
                      <w:rFonts w:ascii="Arial" w:hAnsi="Arial" w:cs="Arial"/>
                      <w:color w:val="000000"/>
                      <w:sz w:val="21"/>
                      <w:szCs w:val="21"/>
                    </w:rPr>
                    <w:t>Alzheimer’s disease or a related dementia (ADRD). </w:t>
                  </w:r>
                  <w:r w:rsidRPr="00E06870">
                    <w:rPr>
                      <w:rFonts w:ascii="Arial" w:hAnsi="Arial" w:cs="Arial"/>
                      <w:color w:val="403F42"/>
                      <w:sz w:val="18"/>
                      <w:szCs w:val="18"/>
                    </w:rPr>
                    <w:t xml:space="preserve"> </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33"/>
                      <w:szCs w:val="33"/>
                    </w:rPr>
                    <w:t>Agenda</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color w:val="000000"/>
                      <w:sz w:val="21"/>
                      <w:szCs w:val="21"/>
                    </w:rPr>
                    <w:t>5:00- 6:30 Navigating Discussions of Prognosis and Advanced Care Planning in Dementia</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18"/>
                      <w:szCs w:val="18"/>
                    </w:rPr>
                    <w:t>Kevin Costello, MD, MPH</w:t>
                  </w:r>
                </w:p>
                <w:p w:rsidR="00E06870" w:rsidRPr="00E06870" w:rsidRDefault="00E06870">
                  <w:pPr>
                    <w:rPr>
                      <w:rFonts w:ascii="Arial" w:hAnsi="Arial" w:cs="Arial"/>
                      <w:color w:val="403F42"/>
                      <w:sz w:val="18"/>
                      <w:szCs w:val="18"/>
                    </w:rPr>
                  </w:pPr>
                  <w:r w:rsidRPr="00E06870">
                    <w:rPr>
                      <w:rFonts w:ascii="Arial" w:hAnsi="Arial" w:cs="Arial"/>
                      <w:color w:val="403F42"/>
                      <w:sz w:val="18"/>
                      <w:szCs w:val="18"/>
                    </w:rPr>
                    <w:t>Assistant Professor of Medicine</w:t>
                  </w:r>
                </w:p>
                <w:p w:rsidR="00E06870" w:rsidRPr="00E06870" w:rsidRDefault="00E06870">
                  <w:pPr>
                    <w:rPr>
                      <w:rFonts w:ascii="Arial" w:hAnsi="Arial" w:cs="Arial"/>
                      <w:color w:val="403F42"/>
                      <w:sz w:val="18"/>
                      <w:szCs w:val="18"/>
                    </w:rPr>
                  </w:pPr>
                  <w:r w:rsidRPr="00E06870">
                    <w:rPr>
                      <w:rFonts w:ascii="Arial" w:hAnsi="Arial" w:cs="Arial"/>
                      <w:color w:val="403F42"/>
                      <w:sz w:val="18"/>
                      <w:szCs w:val="18"/>
                    </w:rPr>
                    <w:t>Albany Medical College</w:t>
                  </w:r>
                </w:p>
                <w:p w:rsidR="00E06870" w:rsidRPr="00E06870" w:rsidRDefault="00E06870">
                  <w:pPr>
                    <w:rPr>
                      <w:rFonts w:ascii="Arial" w:hAnsi="Arial" w:cs="Arial"/>
                      <w:color w:val="403F42"/>
                      <w:sz w:val="18"/>
                      <w:szCs w:val="18"/>
                    </w:rPr>
                  </w:pPr>
                  <w:bookmarkStart w:id="0" w:name="_GoBack"/>
                  <w:bookmarkEnd w:id="0"/>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18"/>
                      <w:szCs w:val="18"/>
                    </w:rPr>
                    <w:t>David Hoffman, DPS, CCE</w:t>
                  </w:r>
                </w:p>
                <w:p w:rsidR="00E06870" w:rsidRPr="00E06870" w:rsidRDefault="00E06870">
                  <w:pPr>
                    <w:rPr>
                      <w:rFonts w:ascii="Arial" w:hAnsi="Arial" w:cs="Arial"/>
                      <w:color w:val="403F42"/>
                      <w:sz w:val="18"/>
                      <w:szCs w:val="18"/>
                    </w:rPr>
                  </w:pPr>
                  <w:r w:rsidRPr="00E06870">
                    <w:rPr>
                      <w:rFonts w:ascii="Arial" w:hAnsi="Arial" w:cs="Arial"/>
                      <w:b/>
                      <w:bCs/>
                      <w:color w:val="403F42"/>
                      <w:sz w:val="18"/>
                      <w:szCs w:val="18"/>
                    </w:rPr>
                    <w:t>Associate Dean for Academic Initiative and Government Affairs</w:t>
                  </w:r>
                </w:p>
                <w:p w:rsidR="00E06870" w:rsidRPr="00E06870" w:rsidRDefault="00E06870">
                  <w:pPr>
                    <w:rPr>
                      <w:rFonts w:ascii="Arial" w:hAnsi="Arial" w:cs="Arial"/>
                      <w:color w:val="403F42"/>
                      <w:sz w:val="18"/>
                      <w:szCs w:val="18"/>
                    </w:rPr>
                  </w:pPr>
                  <w:r w:rsidRPr="00E06870">
                    <w:rPr>
                      <w:rFonts w:ascii="Arial" w:hAnsi="Arial" w:cs="Arial"/>
                      <w:b/>
                      <w:bCs/>
                      <w:color w:val="403F42"/>
                      <w:sz w:val="18"/>
                      <w:szCs w:val="18"/>
                    </w:rPr>
                    <w:t>Associate Professor , Ethics and Health Policy</w:t>
                  </w:r>
                </w:p>
                <w:p w:rsidR="00E06870" w:rsidRPr="00E06870" w:rsidRDefault="00E06870">
                  <w:pPr>
                    <w:rPr>
                      <w:rFonts w:ascii="Arial" w:hAnsi="Arial" w:cs="Arial"/>
                      <w:color w:val="403F42"/>
                      <w:sz w:val="18"/>
                      <w:szCs w:val="18"/>
                    </w:rPr>
                  </w:pPr>
                  <w:r w:rsidRPr="00E06870">
                    <w:rPr>
                      <w:rFonts w:ascii="Arial" w:hAnsi="Arial" w:cs="Arial"/>
                      <w:b/>
                      <w:bCs/>
                      <w:color w:val="403F42"/>
                      <w:sz w:val="18"/>
                      <w:szCs w:val="18"/>
                    </w:rPr>
                    <w:t>Maria College</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29"/>
                      <w:szCs w:val="29"/>
                    </w:rPr>
                    <w:t>Disclosures</w:t>
                  </w:r>
                </w:p>
                <w:p w:rsidR="00E06870" w:rsidRPr="00E06870" w:rsidRDefault="00E06870">
                  <w:pPr>
                    <w:rPr>
                      <w:rFonts w:ascii="Arial" w:hAnsi="Arial" w:cs="Arial"/>
                      <w:color w:val="403F42"/>
                      <w:sz w:val="18"/>
                      <w:szCs w:val="18"/>
                    </w:rPr>
                  </w:pPr>
                  <w:r w:rsidRPr="00E06870">
                    <w:rPr>
                      <w:rFonts w:ascii="Arial" w:hAnsi="Arial" w:cs="Arial"/>
                      <w:color w:val="000000"/>
                      <w:sz w:val="18"/>
                      <w:szCs w:val="18"/>
                    </w:rPr>
                    <w:t>Albany Medical College endorses the standards of the Accreditation Council for Continuing Medical Education (ACCME) and the guidelines of the Association of American Medical Colleges (AAMC) that the sponsors, speakers and planners of continuing medical education activities disclose relationships with commercial interests. Commercial interests are defined as any entity producing, marketing, reselling or distributing health care goods or services consumed by, or used on patients. Relationships include but are not limited to receiving from a commercial company grants (research and other), consultancies, honoraria, travel, other benefits or having a self-managed equity interest in a company. Albany Medical College has implemented a mechanism to identify and resolve all conflicts of interest prior to the educational activity being delivered to learners.</w:t>
                  </w:r>
                </w:p>
                <w:p w:rsidR="00E06870" w:rsidRPr="00E06870" w:rsidRDefault="00E06870">
                  <w:pPr>
                    <w:rPr>
                      <w:rFonts w:ascii="Arial" w:hAnsi="Arial" w:cs="Arial"/>
                      <w:color w:val="403F42"/>
                      <w:sz w:val="18"/>
                      <w:szCs w:val="18"/>
                    </w:rPr>
                  </w:pPr>
                  <w:r w:rsidRPr="00E06870">
                    <w:rPr>
                      <w:rFonts w:ascii="Arial" w:hAnsi="Arial" w:cs="Arial"/>
                      <w:color w:val="000000"/>
                      <w:sz w:val="18"/>
                      <w:szCs w:val="18"/>
                    </w:rPr>
                    <w:t> Disclosure of a relationship is not intended to suggest or condone bias in any presentation, but is made to provide participants with information that might be of potential importance to their evaluation of a presentation.</w:t>
                  </w:r>
                </w:p>
                <w:p w:rsidR="00E06870" w:rsidRPr="00E06870" w:rsidRDefault="00E06870">
                  <w:pPr>
                    <w:rPr>
                      <w:rFonts w:ascii="Arial" w:hAnsi="Arial" w:cs="Arial"/>
                      <w:color w:val="403F42"/>
                      <w:sz w:val="18"/>
                      <w:szCs w:val="18"/>
                    </w:rPr>
                  </w:pPr>
                  <w:r w:rsidRPr="00E06870">
                    <w:rPr>
                      <w:rFonts w:ascii="Arial" w:hAnsi="Arial" w:cs="Arial"/>
                      <w:b/>
                      <w:bCs/>
                      <w:color w:val="000000"/>
                      <w:sz w:val="18"/>
                      <w:szCs w:val="18"/>
                    </w:rPr>
                    <w:t>The following faculty and planning committee members have stated that they do not have any relationships to disclose:  </w:t>
                  </w:r>
                  <w:r w:rsidRPr="00E06870">
                    <w:rPr>
                      <w:rFonts w:ascii="Arial" w:hAnsi="Arial" w:cs="Arial"/>
                      <w:color w:val="000000"/>
                      <w:sz w:val="18"/>
                      <w:szCs w:val="18"/>
                    </w:rPr>
                    <w:t xml:space="preserve"> Kevin Costello, MD; David Hoffman, DPS, CCE; Natalie Turner, LMSW, CDP; Nancy Cummings and </w:t>
                  </w:r>
                  <w:proofErr w:type="spellStart"/>
                  <w:r w:rsidRPr="00E06870">
                    <w:rPr>
                      <w:rFonts w:ascii="Arial" w:hAnsi="Arial" w:cs="Arial"/>
                      <w:color w:val="000000"/>
                      <w:sz w:val="18"/>
                      <w:szCs w:val="18"/>
                    </w:rPr>
                    <w:t>and</w:t>
                  </w:r>
                  <w:proofErr w:type="spellEnd"/>
                  <w:r w:rsidRPr="00E06870">
                    <w:rPr>
                      <w:rFonts w:ascii="Arial" w:hAnsi="Arial" w:cs="Arial"/>
                      <w:color w:val="000000"/>
                      <w:sz w:val="18"/>
                      <w:szCs w:val="18"/>
                    </w:rPr>
                    <w:t xml:space="preserve"> Jennifer Price</w:t>
                  </w:r>
                  <w:r w:rsidRPr="00E06870">
                    <w:rPr>
                      <w:rFonts w:ascii="Arial" w:hAnsi="Arial" w:cs="Arial"/>
                      <w:color w:val="403F42"/>
                      <w:sz w:val="18"/>
                      <w:szCs w:val="18"/>
                    </w:rPr>
                    <w:t xml:space="preserve"> </w:t>
                  </w:r>
                </w:p>
                <w:p w:rsidR="00E06870" w:rsidRPr="00E06870" w:rsidRDefault="00E06870">
                  <w:pPr>
                    <w:rPr>
                      <w:rFonts w:ascii="Arial" w:hAnsi="Arial" w:cs="Arial"/>
                      <w:color w:val="403F42"/>
                      <w:sz w:val="18"/>
                      <w:szCs w:val="18"/>
                    </w:rPr>
                  </w:pPr>
                </w:p>
                <w:p w:rsidR="00E06870" w:rsidRPr="00E06870" w:rsidRDefault="00E06870">
                  <w:pPr>
                    <w:rPr>
                      <w:rFonts w:ascii="Arial" w:hAnsi="Arial" w:cs="Arial"/>
                      <w:color w:val="403F42"/>
                      <w:sz w:val="18"/>
                      <w:szCs w:val="18"/>
                    </w:rPr>
                  </w:pPr>
                  <w:r w:rsidRPr="00E06870">
                    <w:rPr>
                      <w:rFonts w:ascii="Arial" w:hAnsi="Arial" w:cs="Arial"/>
                      <w:b/>
                      <w:bCs/>
                      <w:color w:val="403F42"/>
                      <w:sz w:val="29"/>
                      <w:szCs w:val="29"/>
                    </w:rPr>
                    <w:t>Accreditation</w:t>
                  </w:r>
                </w:p>
                <w:p w:rsidR="00E06870" w:rsidRPr="00E06870" w:rsidRDefault="00E06870">
                  <w:pPr>
                    <w:rPr>
                      <w:rFonts w:ascii="Arial" w:hAnsi="Arial" w:cs="Arial"/>
                      <w:color w:val="403F42"/>
                      <w:sz w:val="18"/>
                      <w:szCs w:val="18"/>
                    </w:rPr>
                  </w:pPr>
                  <w:r w:rsidRPr="00E06870">
                    <w:rPr>
                      <w:rFonts w:ascii="Arial" w:hAnsi="Arial" w:cs="Arial"/>
                      <w:color w:val="403F42"/>
                      <w:sz w:val="18"/>
                      <w:szCs w:val="18"/>
                    </w:rPr>
                    <w:t>The Albany Medical College is accredited by the Accreditation Council for Continuing Medical Education (ACCME) to provide continuing medical education for physicians.</w:t>
                  </w:r>
                </w:p>
                <w:p w:rsidR="00E06870" w:rsidRPr="00E06870" w:rsidRDefault="00E06870">
                  <w:pPr>
                    <w:rPr>
                      <w:rFonts w:ascii="Arial" w:hAnsi="Arial" w:cs="Arial"/>
                      <w:color w:val="403F42"/>
                      <w:sz w:val="18"/>
                      <w:szCs w:val="18"/>
                    </w:rPr>
                  </w:pPr>
                  <w:r w:rsidRPr="00E06870">
                    <w:rPr>
                      <w:rFonts w:ascii="Arial" w:hAnsi="Arial" w:cs="Arial"/>
                      <w:color w:val="403F42"/>
                      <w:sz w:val="18"/>
                      <w:szCs w:val="18"/>
                    </w:rPr>
                    <w:t>Albany Medical College designates this Live activity for a maximum of</w:t>
                  </w:r>
                  <w:proofErr w:type="gramStart"/>
                  <w:r w:rsidRPr="00E06870">
                    <w:rPr>
                      <w:rFonts w:ascii="Arial" w:hAnsi="Arial" w:cs="Arial"/>
                      <w:color w:val="403F42"/>
                      <w:sz w:val="18"/>
                      <w:szCs w:val="18"/>
                    </w:rPr>
                    <w:t>  1.5</w:t>
                  </w:r>
                  <w:proofErr w:type="gramEnd"/>
                  <w:r w:rsidRPr="00E06870">
                    <w:rPr>
                      <w:rFonts w:ascii="Arial" w:hAnsi="Arial" w:cs="Arial"/>
                      <w:color w:val="403F42"/>
                      <w:sz w:val="18"/>
                      <w:szCs w:val="18"/>
                    </w:rPr>
                    <w:t xml:space="preserve"> </w:t>
                  </w:r>
                  <w:r w:rsidRPr="00E06870">
                    <w:rPr>
                      <w:rFonts w:ascii="Arial" w:hAnsi="Arial" w:cs="Arial"/>
                      <w:i/>
                      <w:iCs/>
                      <w:color w:val="403F42"/>
                      <w:sz w:val="18"/>
                      <w:szCs w:val="18"/>
                    </w:rPr>
                    <w:t>AMA PRA Category 1 Credits™.</w:t>
                  </w:r>
                  <w:r w:rsidRPr="00E06870">
                    <w:rPr>
                      <w:rFonts w:ascii="Arial" w:hAnsi="Arial" w:cs="Arial"/>
                      <w:color w:val="403F42"/>
                      <w:sz w:val="18"/>
                      <w:szCs w:val="18"/>
                    </w:rPr>
                    <w:t> Physicians should claim only the credit commensurate with the extent of their participation in the activity.</w:t>
                  </w:r>
                </w:p>
                <w:p w:rsidR="00E06870" w:rsidRPr="00E06870" w:rsidRDefault="00E06870">
                  <w:pPr>
                    <w:rPr>
                      <w:rFonts w:ascii="Arial" w:hAnsi="Arial" w:cs="Arial"/>
                      <w:color w:val="403F42"/>
                      <w:sz w:val="18"/>
                      <w:szCs w:val="18"/>
                    </w:rPr>
                  </w:pPr>
                </w:p>
                <w:p w:rsidR="00E06870" w:rsidRPr="00E06870" w:rsidRDefault="00E06870">
                  <w:pPr>
                    <w:jc w:val="center"/>
                    <w:rPr>
                      <w:rFonts w:ascii="Arial" w:hAnsi="Arial" w:cs="Arial"/>
                      <w:color w:val="403F42"/>
                      <w:sz w:val="18"/>
                      <w:szCs w:val="18"/>
                    </w:rPr>
                  </w:pPr>
                  <w:r w:rsidRPr="00E06870">
                    <w:rPr>
                      <w:rFonts w:ascii="Arial" w:hAnsi="Arial" w:cs="Arial"/>
                      <w:color w:val="403F42"/>
                      <w:sz w:val="18"/>
                      <w:szCs w:val="18"/>
                    </w:rPr>
                    <w:t xml:space="preserve">We have received </w:t>
                  </w:r>
                  <w:r w:rsidRPr="00E06870">
                    <w:rPr>
                      <w:rFonts w:ascii="Arial" w:hAnsi="Arial" w:cs="Arial"/>
                      <w:b/>
                      <w:bCs/>
                      <w:color w:val="403F42"/>
                      <w:sz w:val="18"/>
                      <w:szCs w:val="18"/>
                    </w:rPr>
                    <w:t>no</w:t>
                  </w:r>
                  <w:r w:rsidRPr="00E06870">
                    <w:rPr>
                      <w:rFonts w:ascii="Arial" w:hAnsi="Arial" w:cs="Arial"/>
                      <w:color w:val="403F42"/>
                      <w:sz w:val="18"/>
                      <w:szCs w:val="18"/>
                    </w:rPr>
                    <w:t xml:space="preserve"> commercial support for this activity</w:t>
                  </w:r>
                </w:p>
              </w:tc>
            </w:tr>
          </w:tbl>
          <w:p w:rsidR="00E06870" w:rsidRPr="00E06870" w:rsidRDefault="00E06870">
            <w:pPr>
              <w:rPr>
                <w:rFonts w:ascii="Arial" w:eastAsia="Times New Roman" w:hAnsi="Arial" w:cs="Arial"/>
                <w:sz w:val="20"/>
                <w:szCs w:val="20"/>
              </w:rPr>
            </w:pPr>
          </w:p>
        </w:tc>
      </w:tr>
    </w:tbl>
    <w:p w:rsidR="00AB0E9B" w:rsidRDefault="00AB0E9B"/>
    <w:sectPr w:rsidR="00AB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41839"/>
    <w:multiLevelType w:val="multilevel"/>
    <w:tmpl w:val="E530D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70"/>
    <w:rsid w:val="00AB0E9B"/>
    <w:rsid w:val="00E0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E425-D244-45E9-B5A4-9465A8AE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87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NPbKpCVodoDf5JQSLPXev-Ktxx5ItUp2oEH1cggl_FAIz4M6KuuhYh31EOMsOFkTUu12yiIin6lgA2MQfORxsBhnlr27GpIRtMD5_dhtXUFEwu0PCC9JCmQzaR2wA-zEbxGI4cqxItq0irB4jYiZwlAOTANdo3QJ0ggF0BzSXhoNPBG7wNdwJ4ynAFSAdTBd&amp;c=w2slOK5QRRkGIFxgD5Fuk53qEuBnqsS5i5LRNNytAz3gEuvI7FymkA==&amp;ch=uy1gAKbNX3wIMo9gYZSYgVyZ3d-doCA7weOzmeR6VD2P59eXZlnu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Cinzio, Katelyn</dc:creator>
  <cp:keywords/>
  <dc:description/>
  <cp:lastModifiedBy>Cinzio, Katelyn</cp:lastModifiedBy>
  <cp:revision>1</cp:revision>
  <dcterms:created xsi:type="dcterms:W3CDTF">2020-11-04T15:40:00Z</dcterms:created>
  <dcterms:modified xsi:type="dcterms:W3CDTF">2020-11-04T15:42:00Z</dcterms:modified>
</cp:coreProperties>
</file>